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171E" w14:textId="77777777" w:rsidR="006B590A" w:rsidRDefault="006B590A" w:rsidP="00517944">
      <w:pPr>
        <w:tabs>
          <w:tab w:val="left" w:pos="-720"/>
          <w:tab w:val="left" w:pos="720"/>
        </w:tabs>
        <w:jc w:val="center"/>
        <w:outlineLvl w:val="0"/>
        <w:rPr>
          <w:b/>
          <w:sz w:val="24"/>
          <w:szCs w:val="22"/>
        </w:rPr>
      </w:pPr>
      <w:bookmarkStart w:id="0" w:name="_Toc506296163"/>
      <w:bookmarkStart w:id="1" w:name="_Toc12868303"/>
    </w:p>
    <w:p w14:paraId="1AFFF9AC" w14:textId="1E250FC1" w:rsidR="006B590A" w:rsidRDefault="006B590A" w:rsidP="006B590A">
      <w:pPr>
        <w:tabs>
          <w:tab w:val="left" w:pos="-720"/>
          <w:tab w:val="left" w:pos="720"/>
        </w:tabs>
        <w:outlineLvl w:val="0"/>
        <w:rPr>
          <w:b/>
          <w:sz w:val="24"/>
          <w:szCs w:val="22"/>
        </w:rPr>
      </w:pPr>
      <w:r>
        <w:rPr>
          <w:noProof/>
          <w:color w:val="000000"/>
        </w:rPr>
        <w:drawing>
          <wp:inline distT="0" distB="0" distL="0" distR="0" wp14:anchorId="0EDA2733" wp14:editId="621E78F6">
            <wp:extent cx="2070308"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th_horizontal_lockup_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576" cy="1122063"/>
                    </a:xfrm>
                    <a:prstGeom prst="rect">
                      <a:avLst/>
                    </a:prstGeom>
                  </pic:spPr>
                </pic:pic>
              </a:graphicData>
            </a:graphic>
          </wp:inline>
        </w:drawing>
      </w:r>
    </w:p>
    <w:p w14:paraId="08682376" w14:textId="77777777" w:rsidR="006B590A" w:rsidRDefault="006B590A" w:rsidP="006B590A">
      <w:pPr>
        <w:tabs>
          <w:tab w:val="left" w:pos="-720"/>
          <w:tab w:val="left" w:pos="720"/>
        </w:tabs>
        <w:outlineLvl w:val="0"/>
        <w:rPr>
          <w:b/>
          <w:sz w:val="24"/>
          <w:szCs w:val="22"/>
        </w:rPr>
      </w:pPr>
    </w:p>
    <w:p w14:paraId="0178A7AB" w14:textId="48ABF879" w:rsidR="00000F3D" w:rsidRPr="00193B9D" w:rsidRDefault="009D64FE" w:rsidP="00517944">
      <w:pPr>
        <w:tabs>
          <w:tab w:val="left" w:pos="-720"/>
          <w:tab w:val="left" w:pos="720"/>
        </w:tabs>
        <w:jc w:val="center"/>
        <w:outlineLvl w:val="0"/>
        <w:rPr>
          <w:b/>
          <w:sz w:val="24"/>
          <w:szCs w:val="22"/>
        </w:rPr>
      </w:pPr>
      <w:r w:rsidRPr="00193B9D">
        <w:rPr>
          <w:b/>
          <w:sz w:val="24"/>
          <w:szCs w:val="22"/>
        </w:rPr>
        <w:t>TITLE IX POLICY</w:t>
      </w:r>
      <w:bookmarkEnd w:id="0"/>
      <w:bookmarkEnd w:id="1"/>
    </w:p>
    <w:p w14:paraId="0CC500C6" w14:textId="77777777" w:rsidR="00000F3D" w:rsidRPr="0004733E" w:rsidRDefault="009D64FE" w:rsidP="00000F3D">
      <w:pPr>
        <w:rPr>
          <w:b/>
          <w:szCs w:val="22"/>
        </w:rPr>
      </w:pPr>
    </w:p>
    <w:p w14:paraId="7CBB6180" w14:textId="77777777" w:rsidR="00C97896" w:rsidRPr="0004733E" w:rsidRDefault="009D64FE" w:rsidP="002E308D">
      <w:pPr>
        <w:rPr>
          <w:szCs w:val="22"/>
        </w:rPr>
      </w:pPr>
      <w:r w:rsidRPr="0004733E">
        <w:rPr>
          <w:szCs w:val="22"/>
        </w:rPr>
        <w:t>Consistent with Title IX of the Education Amendments of 1972 (“Title IX”),</w:t>
      </w:r>
      <w:r>
        <w:rPr>
          <w:szCs w:val="22"/>
        </w:rPr>
        <w:t xml:space="preserve"> </w:t>
      </w:r>
      <w:r>
        <w:rPr>
          <w:szCs w:val="22"/>
        </w:rPr>
        <w:t>Atlanta Girls’</w:t>
      </w:r>
      <w:r>
        <w:rPr>
          <w:szCs w:val="22"/>
        </w:rPr>
        <w:t xml:space="preserve"> School</w:t>
      </w:r>
      <w:r w:rsidRPr="00C06B0C">
        <w:rPr>
          <w:szCs w:val="22"/>
        </w:rPr>
        <w:t xml:space="preserve"> </w:t>
      </w:r>
      <w:r w:rsidRPr="0004733E">
        <w:rPr>
          <w:szCs w:val="22"/>
        </w:rPr>
        <w:t xml:space="preserve">(the “School”) does not discriminate </w:t>
      </w:r>
      <w:proofErr w:type="gramStart"/>
      <w:r w:rsidRPr="0004733E">
        <w:rPr>
          <w:szCs w:val="22"/>
        </w:rPr>
        <w:t>on the basis of</w:t>
      </w:r>
      <w:proofErr w:type="gramEnd"/>
      <w:r w:rsidRPr="0004733E">
        <w:rPr>
          <w:szCs w:val="22"/>
        </w:rPr>
        <w:t xml:space="preserve"> sex</w:t>
      </w:r>
      <w:r>
        <w:rPr>
          <w:szCs w:val="22"/>
        </w:rPr>
        <w:t xml:space="preserve"> </w:t>
      </w:r>
      <w:r w:rsidRPr="0004733E">
        <w:rPr>
          <w:szCs w:val="22"/>
        </w:rPr>
        <w:t>in its educa</w:t>
      </w:r>
      <w:r>
        <w:rPr>
          <w:szCs w:val="22"/>
        </w:rPr>
        <w:t>tional programs and activities</w:t>
      </w:r>
      <w:r w:rsidRPr="0004733E">
        <w:rPr>
          <w:szCs w:val="22"/>
        </w:rPr>
        <w:t xml:space="preserve"> or employment.</w:t>
      </w:r>
    </w:p>
    <w:p w14:paraId="3B987256" w14:textId="77777777" w:rsidR="00C01264" w:rsidRPr="0004733E" w:rsidRDefault="009D64FE" w:rsidP="002E308D">
      <w:pPr>
        <w:rPr>
          <w:szCs w:val="22"/>
        </w:rPr>
      </w:pPr>
    </w:p>
    <w:p w14:paraId="62670EA7" w14:textId="77777777" w:rsidR="00386217" w:rsidRPr="0004733E" w:rsidRDefault="009D64FE" w:rsidP="00C01264">
      <w:pPr>
        <w:widowControl w:val="0"/>
        <w:tabs>
          <w:tab w:val="left" w:pos="180"/>
        </w:tabs>
        <w:suppressAutoHyphens/>
        <w:autoSpaceDE w:val="0"/>
        <w:autoSpaceDN w:val="0"/>
        <w:adjustRightInd w:val="0"/>
        <w:textAlignment w:val="center"/>
        <w:rPr>
          <w:szCs w:val="22"/>
        </w:rPr>
      </w:pPr>
      <w:r w:rsidRPr="0004733E">
        <w:rPr>
          <w:szCs w:val="22"/>
        </w:rPr>
        <w:t xml:space="preserve">In addition to this </w:t>
      </w:r>
      <w:r w:rsidRPr="0004733E">
        <w:rPr>
          <w:szCs w:val="22"/>
        </w:rPr>
        <w:t>Title IX policy, the School has established separate policies, that, among other things:  (1) outline the School’s mandated reporting guidelines; (2) outline the School’s processes for managing interpersonal relationships safely and appropriately;</w:t>
      </w:r>
      <w:r>
        <w:rPr>
          <w:szCs w:val="22"/>
        </w:rPr>
        <w:t xml:space="preserve"> and</w:t>
      </w:r>
      <w:r w:rsidRPr="0004733E">
        <w:rPr>
          <w:szCs w:val="22"/>
        </w:rPr>
        <w:t xml:space="preserve"> (3) </w:t>
      </w:r>
      <w:r w:rsidRPr="0004733E">
        <w:rPr>
          <w:szCs w:val="22"/>
        </w:rPr>
        <w:t>seek to prevent sex-based discrimination, harassment, and violence.  Please see the School’s</w:t>
      </w:r>
      <w:r>
        <w:rPr>
          <w:szCs w:val="22"/>
        </w:rPr>
        <w:t xml:space="preserve"> </w:t>
      </w:r>
      <w:r w:rsidRPr="00F874C9">
        <w:rPr>
          <w:szCs w:val="22"/>
        </w:rPr>
        <w:t xml:space="preserve">Community </w:t>
      </w:r>
      <w:r w:rsidRPr="00F874C9">
        <w:t>Handbook or Employee Handbook</w:t>
      </w:r>
      <w:r w:rsidRPr="00E27ABA">
        <w:t>,</w:t>
      </w:r>
      <w:r>
        <w:t xml:space="preserve"> </w:t>
      </w:r>
      <w:r>
        <w:rPr>
          <w:szCs w:val="22"/>
        </w:rPr>
        <w:t xml:space="preserve">as applicable, </w:t>
      </w:r>
      <w:r w:rsidRPr="0004733E">
        <w:rPr>
          <w:szCs w:val="22"/>
        </w:rPr>
        <w:t>for further information about the</w:t>
      </w:r>
      <w:r>
        <w:rPr>
          <w:szCs w:val="22"/>
        </w:rPr>
        <w:t>se policies.</w:t>
      </w:r>
    </w:p>
    <w:p w14:paraId="26AA0C76" w14:textId="77777777" w:rsidR="00386217" w:rsidRPr="0004733E" w:rsidRDefault="009D64FE" w:rsidP="00C01264">
      <w:pPr>
        <w:widowControl w:val="0"/>
        <w:tabs>
          <w:tab w:val="left" w:pos="180"/>
        </w:tabs>
        <w:suppressAutoHyphens/>
        <w:autoSpaceDE w:val="0"/>
        <w:autoSpaceDN w:val="0"/>
        <w:adjustRightInd w:val="0"/>
        <w:textAlignment w:val="center"/>
        <w:rPr>
          <w:szCs w:val="22"/>
        </w:rPr>
      </w:pPr>
    </w:p>
    <w:p w14:paraId="64ACE501" w14:textId="0036FD48" w:rsidR="00C01264" w:rsidRPr="0004733E" w:rsidRDefault="009D64FE" w:rsidP="00C01264">
      <w:pPr>
        <w:widowControl w:val="0"/>
        <w:tabs>
          <w:tab w:val="left" w:pos="180"/>
        </w:tabs>
        <w:suppressAutoHyphens/>
        <w:autoSpaceDE w:val="0"/>
        <w:autoSpaceDN w:val="0"/>
        <w:adjustRightInd w:val="0"/>
        <w:textAlignment w:val="center"/>
        <w:rPr>
          <w:szCs w:val="22"/>
        </w:rPr>
      </w:pPr>
      <w:r w:rsidRPr="0004733E">
        <w:rPr>
          <w:szCs w:val="22"/>
        </w:rPr>
        <w:t>Students, parents/guardians, and employees are also encourag</w:t>
      </w:r>
      <w:r w:rsidRPr="0004733E">
        <w:rPr>
          <w:szCs w:val="22"/>
        </w:rPr>
        <w:t>ed to communicate with the Head of School, t</w:t>
      </w:r>
      <w:r>
        <w:rPr>
          <w:szCs w:val="22"/>
        </w:rPr>
        <w:t xml:space="preserve">he </w:t>
      </w:r>
      <w:r w:rsidR="006B590A">
        <w:rPr>
          <w:szCs w:val="22"/>
        </w:rPr>
        <w:t>Director of Middle and Upper School</w:t>
      </w:r>
      <w:r w:rsidR="00637F58">
        <w:rPr>
          <w:szCs w:val="22"/>
        </w:rPr>
        <w:t>s</w:t>
      </w:r>
      <w:r w:rsidR="006B590A">
        <w:rPr>
          <w:szCs w:val="22"/>
        </w:rPr>
        <w:t>, or the Director of Finance and Operations</w:t>
      </w:r>
      <w:r w:rsidRPr="0004733E">
        <w:rPr>
          <w:szCs w:val="22"/>
        </w:rPr>
        <w:t xml:space="preserve"> </w:t>
      </w:r>
      <w:r w:rsidRPr="0004733E">
        <w:rPr>
          <w:szCs w:val="22"/>
        </w:rPr>
        <w:t>with any questions or concerns regarding these policies.  The School believes that o</w:t>
      </w:r>
      <w:r w:rsidRPr="0004733E">
        <w:rPr>
          <w:szCs w:val="22"/>
        </w:rPr>
        <w:t>pen communication about these sensitive topics is integral to preventing serious misconduct from occurring and is essential to fostering a culture of personal responsibility, mutual accountability, and positive leadership.</w:t>
      </w:r>
      <w:bookmarkStart w:id="2" w:name="_GoBack"/>
      <w:bookmarkEnd w:id="2"/>
    </w:p>
    <w:p w14:paraId="57DA44E8" w14:textId="77777777" w:rsidR="00C97896" w:rsidRPr="0004733E" w:rsidRDefault="009D64FE" w:rsidP="002E308D">
      <w:pPr>
        <w:rPr>
          <w:szCs w:val="22"/>
        </w:rPr>
      </w:pPr>
    </w:p>
    <w:p w14:paraId="6B92678C" w14:textId="77777777" w:rsidR="002E308D" w:rsidRPr="0004733E" w:rsidRDefault="009D64FE" w:rsidP="002E308D">
      <w:pPr>
        <w:outlineLvl w:val="1"/>
        <w:rPr>
          <w:b/>
          <w:szCs w:val="22"/>
        </w:rPr>
      </w:pPr>
      <w:r w:rsidRPr="0004733E">
        <w:rPr>
          <w:b/>
          <w:szCs w:val="22"/>
        </w:rPr>
        <w:t xml:space="preserve">Compliance Coordinator </w:t>
      </w:r>
    </w:p>
    <w:p w14:paraId="6A9B5BF2" w14:textId="77777777" w:rsidR="002E308D" w:rsidRPr="0004733E" w:rsidRDefault="009D64FE" w:rsidP="002E308D">
      <w:pPr>
        <w:rPr>
          <w:szCs w:val="22"/>
        </w:rPr>
      </w:pPr>
    </w:p>
    <w:p w14:paraId="652336F1" w14:textId="77777777" w:rsidR="002E308D" w:rsidRPr="0004733E" w:rsidRDefault="009D64FE" w:rsidP="002E308D">
      <w:pPr>
        <w:rPr>
          <w:szCs w:val="22"/>
        </w:rPr>
      </w:pPr>
      <w:r w:rsidRPr="0004733E">
        <w:rPr>
          <w:szCs w:val="22"/>
        </w:rPr>
        <w:t>The Com</w:t>
      </w:r>
      <w:r w:rsidRPr="0004733E">
        <w:rPr>
          <w:szCs w:val="22"/>
        </w:rPr>
        <w:t>pliance Coordinator is responsible for administering and ensuring the School’s compliance with Title IX.  In order to ensure compliance with Title IX in all facets of the School’s operation, the Compliance Coordinator will coordinate with the School’s Admi</w:t>
      </w:r>
      <w:r w:rsidRPr="0004733E">
        <w:rPr>
          <w:szCs w:val="22"/>
        </w:rPr>
        <w:t>nistration to implement and administer this policy and the School’s related grievance procedures for resolving Title IX complaints.  The Compliance Coordinator is also responsible for investigating complaints of sex-based discrimination, harassment, violen</w:t>
      </w:r>
      <w:r w:rsidRPr="0004733E">
        <w:rPr>
          <w:szCs w:val="22"/>
        </w:rPr>
        <w:t>ce, or other allegations regarding violations of Title IX; working with law enforcement regarding such complaints when necessary; and ensuring that complaints are resolved promptly and appropriately to the extent possible.  The Compliance Coordinator may d</w:t>
      </w:r>
      <w:r w:rsidRPr="0004733E">
        <w:rPr>
          <w:szCs w:val="22"/>
        </w:rPr>
        <w:t>elegate these duties to other school employees or external investigators, as necessary and in his or her sole discretion, to ensure the prompt and appropriate resolution of any complaint.</w:t>
      </w:r>
    </w:p>
    <w:p w14:paraId="12FFA833" w14:textId="77777777" w:rsidR="002E308D" w:rsidRPr="0004733E" w:rsidRDefault="009D64FE" w:rsidP="002E308D">
      <w:pPr>
        <w:rPr>
          <w:szCs w:val="22"/>
        </w:rPr>
      </w:pPr>
    </w:p>
    <w:p w14:paraId="74E46E89" w14:textId="77777777" w:rsidR="00802EB8" w:rsidRPr="0004733E" w:rsidRDefault="009D64FE" w:rsidP="008F7DA8">
      <w:pPr>
        <w:rPr>
          <w:szCs w:val="22"/>
        </w:rPr>
      </w:pPr>
      <w:r w:rsidRPr="0004733E">
        <w:rPr>
          <w:szCs w:val="22"/>
        </w:rPr>
        <w:t>The Compliance Coordinator (or his or her designee) may also meet with the School’s students, parents/guardians, and/or employees regarding their rights and obligations under Title IX and to address any questions regarding the School’s compliance with such</w:t>
      </w:r>
      <w:r w:rsidRPr="0004733E">
        <w:rPr>
          <w:szCs w:val="22"/>
        </w:rPr>
        <w:t xml:space="preserve"> obligations.   </w:t>
      </w:r>
    </w:p>
    <w:p w14:paraId="7A717EF1" w14:textId="77777777" w:rsidR="008F7DA8" w:rsidRPr="0004733E" w:rsidRDefault="009D64FE" w:rsidP="008F7DA8">
      <w:pPr>
        <w:rPr>
          <w:szCs w:val="22"/>
        </w:rPr>
      </w:pPr>
    </w:p>
    <w:p w14:paraId="6F1FE972" w14:textId="77777777" w:rsidR="008F7DA8" w:rsidRPr="0004733E" w:rsidRDefault="009D64FE" w:rsidP="008F7DA8">
      <w:pPr>
        <w:rPr>
          <w:szCs w:val="22"/>
        </w:rPr>
      </w:pPr>
      <w:r w:rsidRPr="0004733E">
        <w:rPr>
          <w:szCs w:val="22"/>
        </w:rPr>
        <w:t>Inquir</w:t>
      </w:r>
      <w:r>
        <w:rPr>
          <w:szCs w:val="22"/>
        </w:rPr>
        <w:t>i</w:t>
      </w:r>
      <w:r w:rsidRPr="0004733E">
        <w:rPr>
          <w:szCs w:val="22"/>
        </w:rPr>
        <w:t>es concerning this policy, Title IX, and any related issues of sex-based discrimination should be directed to the School’s Compliance Coordinator:</w:t>
      </w:r>
    </w:p>
    <w:p w14:paraId="364BAB08" w14:textId="77777777" w:rsidR="008F7DA8" w:rsidRPr="0004733E" w:rsidRDefault="009D64FE" w:rsidP="008F7DA8">
      <w:pPr>
        <w:rPr>
          <w:szCs w:val="22"/>
        </w:rPr>
      </w:pPr>
    </w:p>
    <w:p w14:paraId="0FED2C0C" w14:textId="39042378" w:rsidR="008F7DA8" w:rsidRPr="0004733E" w:rsidRDefault="009D64FE" w:rsidP="006B590A">
      <w:pPr>
        <w:tabs>
          <w:tab w:val="left" w:pos="2160"/>
        </w:tabs>
        <w:rPr>
          <w:szCs w:val="22"/>
        </w:rPr>
      </w:pPr>
      <w:r w:rsidRPr="0004733E">
        <w:rPr>
          <w:szCs w:val="22"/>
        </w:rPr>
        <w:t>Name:</w:t>
      </w:r>
      <w:r w:rsidR="006B590A">
        <w:rPr>
          <w:szCs w:val="22"/>
        </w:rPr>
        <w:tab/>
        <w:t>Sara Fisher</w:t>
      </w:r>
    </w:p>
    <w:p w14:paraId="18BF8F8B" w14:textId="122A048D" w:rsidR="008F7DA8" w:rsidRPr="0004733E" w:rsidRDefault="009D64FE" w:rsidP="006B590A">
      <w:pPr>
        <w:tabs>
          <w:tab w:val="left" w:pos="2160"/>
        </w:tabs>
        <w:rPr>
          <w:szCs w:val="22"/>
        </w:rPr>
      </w:pPr>
      <w:r w:rsidRPr="0004733E">
        <w:rPr>
          <w:szCs w:val="22"/>
        </w:rPr>
        <w:t>Title:</w:t>
      </w:r>
      <w:r w:rsidR="006B590A">
        <w:rPr>
          <w:szCs w:val="22"/>
        </w:rPr>
        <w:tab/>
        <w:t>Registrar</w:t>
      </w:r>
    </w:p>
    <w:p w14:paraId="07F29068" w14:textId="631A9778" w:rsidR="008F7DA8" w:rsidRPr="0004733E" w:rsidRDefault="009D64FE" w:rsidP="006B590A">
      <w:pPr>
        <w:tabs>
          <w:tab w:val="left" w:pos="2160"/>
        </w:tabs>
        <w:rPr>
          <w:szCs w:val="22"/>
        </w:rPr>
      </w:pPr>
      <w:r w:rsidRPr="0004733E">
        <w:rPr>
          <w:szCs w:val="22"/>
        </w:rPr>
        <w:t>Office Address:</w:t>
      </w:r>
      <w:r w:rsidR="006B590A">
        <w:rPr>
          <w:szCs w:val="22"/>
        </w:rPr>
        <w:tab/>
        <w:t>3254 Northside Pkwy NW, Office 138, Atlanta, GA 30327</w:t>
      </w:r>
    </w:p>
    <w:p w14:paraId="7F9A8F23" w14:textId="642EC5FE" w:rsidR="008F7DA8" w:rsidRPr="0004733E" w:rsidRDefault="009D64FE" w:rsidP="006B590A">
      <w:pPr>
        <w:tabs>
          <w:tab w:val="left" w:pos="2160"/>
        </w:tabs>
        <w:rPr>
          <w:szCs w:val="22"/>
        </w:rPr>
      </w:pPr>
      <w:r w:rsidRPr="0004733E">
        <w:rPr>
          <w:szCs w:val="22"/>
        </w:rPr>
        <w:t>Telephone Number:</w:t>
      </w:r>
      <w:r w:rsidR="006B590A">
        <w:rPr>
          <w:szCs w:val="22"/>
        </w:rPr>
        <w:tab/>
      </w:r>
      <w:r w:rsidR="006B590A" w:rsidRPr="006B590A">
        <w:rPr>
          <w:szCs w:val="22"/>
        </w:rPr>
        <w:t>(404) 604-2806</w:t>
      </w:r>
    </w:p>
    <w:p w14:paraId="67723C1B" w14:textId="6C73F34B" w:rsidR="008F7DA8" w:rsidRPr="0004733E" w:rsidRDefault="009D64FE" w:rsidP="006B590A">
      <w:pPr>
        <w:tabs>
          <w:tab w:val="left" w:pos="2160"/>
        </w:tabs>
        <w:rPr>
          <w:szCs w:val="22"/>
        </w:rPr>
      </w:pPr>
      <w:r w:rsidRPr="0004733E">
        <w:rPr>
          <w:szCs w:val="22"/>
        </w:rPr>
        <w:t>Email Address:</w:t>
      </w:r>
      <w:r w:rsidR="006B590A">
        <w:rPr>
          <w:szCs w:val="22"/>
        </w:rPr>
        <w:tab/>
      </w:r>
      <w:proofErr w:type="spellStart"/>
      <w:r w:rsidR="006B590A">
        <w:rPr>
          <w:szCs w:val="22"/>
        </w:rPr>
        <w:t>sfisher</w:t>
      </w:r>
      <w:proofErr w:type="spellEnd"/>
      <w:r w:rsidR="006B590A">
        <w:rPr>
          <w:szCs w:val="22"/>
        </w:rPr>
        <w:t>@ atlantagirlsschool.org</w:t>
      </w:r>
    </w:p>
    <w:p w14:paraId="2478C488" w14:textId="77777777" w:rsidR="002E308D" w:rsidRPr="0004733E" w:rsidRDefault="009D64FE" w:rsidP="002E308D">
      <w:pPr>
        <w:rPr>
          <w:szCs w:val="22"/>
        </w:rPr>
      </w:pPr>
    </w:p>
    <w:p w14:paraId="48185E63" w14:textId="77777777" w:rsidR="00C01264" w:rsidRPr="0004733E" w:rsidRDefault="009D64FE" w:rsidP="002E308D">
      <w:pPr>
        <w:rPr>
          <w:b/>
          <w:szCs w:val="22"/>
        </w:rPr>
      </w:pPr>
      <w:r w:rsidRPr="0004733E">
        <w:rPr>
          <w:b/>
          <w:szCs w:val="22"/>
        </w:rPr>
        <w:t xml:space="preserve">Sex-Based Harassment </w:t>
      </w:r>
    </w:p>
    <w:p w14:paraId="69E9D2A8" w14:textId="77777777" w:rsidR="00BA4901" w:rsidRPr="0004733E" w:rsidRDefault="009D64FE" w:rsidP="002E308D">
      <w:pPr>
        <w:rPr>
          <w:b/>
          <w:szCs w:val="22"/>
        </w:rPr>
      </w:pPr>
    </w:p>
    <w:p w14:paraId="4A4356F0" w14:textId="77777777" w:rsidR="00C01264" w:rsidRPr="0004733E" w:rsidRDefault="009D64FE" w:rsidP="002E308D">
      <w:pPr>
        <w:rPr>
          <w:szCs w:val="22"/>
        </w:rPr>
      </w:pPr>
      <w:r w:rsidRPr="0004733E">
        <w:rPr>
          <w:szCs w:val="22"/>
        </w:rPr>
        <w:t xml:space="preserve">The School prohibits sex-based harassment by students, employees, or third parties when the conduct is sufficiently serious to deny or limit a student’s ability to participate in or benefit from the School’s educational programs and </w:t>
      </w:r>
      <w:r w:rsidRPr="0004733E">
        <w:rPr>
          <w:szCs w:val="22"/>
        </w:rPr>
        <w:t xml:space="preserve">activities; submission to or rejection of such conduct is made, either explicitly or implicitly, a term or condition of admission or employment or the basis for an admission or employment decision; or such conduct has the purpose or effect of unreasonably </w:t>
      </w:r>
      <w:r w:rsidRPr="0004733E">
        <w:rPr>
          <w:szCs w:val="22"/>
        </w:rPr>
        <w:t>interfering with performance or creating an intimidating, hostile, humiliating, or sexually offensive learning or work environment.</w:t>
      </w:r>
    </w:p>
    <w:p w14:paraId="146B2236" w14:textId="77777777" w:rsidR="00C01264" w:rsidRPr="0004733E" w:rsidRDefault="009D64FE" w:rsidP="002E308D">
      <w:pPr>
        <w:rPr>
          <w:szCs w:val="22"/>
        </w:rPr>
      </w:pPr>
    </w:p>
    <w:p w14:paraId="6D0C301B" w14:textId="77777777" w:rsidR="00C01264" w:rsidRPr="0004733E" w:rsidRDefault="009D64FE" w:rsidP="00C01264">
      <w:pPr>
        <w:rPr>
          <w:szCs w:val="22"/>
        </w:rPr>
      </w:pPr>
      <w:r w:rsidRPr="0004733E">
        <w:rPr>
          <w:szCs w:val="22"/>
        </w:rPr>
        <w:t>Title IX prohibits several types of sex-based harassment.  For the purposes of this policy, the following definitions apply</w:t>
      </w:r>
      <w:r w:rsidRPr="0004733E">
        <w:rPr>
          <w:szCs w:val="22"/>
        </w:rPr>
        <w:t xml:space="preserve">.  </w:t>
      </w:r>
      <w:r w:rsidRPr="0004733E">
        <w:rPr>
          <w:i/>
          <w:szCs w:val="22"/>
        </w:rPr>
        <w:t>Sex-based harassment</w:t>
      </w:r>
      <w:r w:rsidRPr="0004733E">
        <w:rPr>
          <w:szCs w:val="22"/>
        </w:rPr>
        <w:t xml:space="preserve"> </w:t>
      </w:r>
      <w:r w:rsidRPr="0004733E">
        <w:rPr>
          <w:szCs w:val="22"/>
          <w:lang w:val="en-GB"/>
        </w:rPr>
        <w:t xml:space="preserve">means unwanted conduct that is related to an individual's sex or the sex of another person.  </w:t>
      </w:r>
      <w:r w:rsidRPr="0004733E">
        <w:rPr>
          <w:i/>
          <w:szCs w:val="22"/>
        </w:rPr>
        <w:t>Sexual violence</w:t>
      </w:r>
      <w:r w:rsidRPr="0004733E">
        <w:rPr>
          <w:szCs w:val="22"/>
        </w:rPr>
        <w:t xml:space="preserve"> is a form of sex-based harassment and refers to physical sexual acts perpetrated against a person’s will or where an indivi</w:t>
      </w:r>
      <w:r w:rsidRPr="0004733E">
        <w:rPr>
          <w:szCs w:val="22"/>
        </w:rPr>
        <w:t>dual is incapable of giving consent (</w:t>
      </w:r>
      <w:r w:rsidRPr="0004733E">
        <w:rPr>
          <w:i/>
          <w:iCs/>
          <w:szCs w:val="22"/>
        </w:rPr>
        <w:t>e.g</w:t>
      </w:r>
      <w:r w:rsidRPr="0004733E">
        <w:rPr>
          <w:szCs w:val="22"/>
        </w:rPr>
        <w:t xml:space="preserve">., due to the individual’s age or use of drugs or alcohol, or because an intellectual or other disability prevents the individual from having the capacity to give consent).  </w:t>
      </w:r>
      <w:proofErr w:type="gramStart"/>
      <w:r w:rsidRPr="0004733E">
        <w:rPr>
          <w:szCs w:val="22"/>
        </w:rPr>
        <w:t>A number of</w:t>
      </w:r>
      <w:proofErr w:type="gramEnd"/>
      <w:r w:rsidRPr="0004733E">
        <w:rPr>
          <w:szCs w:val="22"/>
        </w:rPr>
        <w:t xml:space="preserve"> different acts fall into the c</w:t>
      </w:r>
      <w:r w:rsidRPr="0004733E">
        <w:rPr>
          <w:szCs w:val="22"/>
        </w:rPr>
        <w:t xml:space="preserve">ategory of sexual violence, including rape, sexual assault, sexual battery, sexual abuse, and sexual coercion.  </w:t>
      </w:r>
      <w:r w:rsidRPr="0004733E">
        <w:rPr>
          <w:i/>
          <w:szCs w:val="22"/>
        </w:rPr>
        <w:t>Gender-based harassment</w:t>
      </w:r>
      <w:r w:rsidRPr="0004733E">
        <w:rPr>
          <w:szCs w:val="22"/>
        </w:rPr>
        <w:t xml:space="preserve"> is another form of sex-based harassment and refers to unwelcome conduct based on an individual’s actual or perceived sex</w:t>
      </w:r>
      <w:r w:rsidRPr="0004733E">
        <w:rPr>
          <w:szCs w:val="22"/>
        </w:rPr>
        <w:t xml:space="preserve">, including harassment based on gender identity or nonconformity with sex stereotypes, and not necessarily involving conduct of a sexual nature.  </w:t>
      </w:r>
      <w:proofErr w:type="gramStart"/>
      <w:r w:rsidRPr="0004733E">
        <w:rPr>
          <w:szCs w:val="22"/>
        </w:rPr>
        <w:t>All of</w:t>
      </w:r>
      <w:proofErr w:type="gramEnd"/>
      <w:r w:rsidRPr="0004733E">
        <w:rPr>
          <w:szCs w:val="22"/>
        </w:rPr>
        <w:t xml:space="preserve"> these types of sex-based harassment are forms of sex-based discrimination prohibited by Title IX.</w:t>
      </w:r>
    </w:p>
    <w:p w14:paraId="079E6862" w14:textId="77777777" w:rsidR="00C01264" w:rsidRPr="0004733E" w:rsidRDefault="009D64FE" w:rsidP="00C01264">
      <w:pPr>
        <w:rPr>
          <w:szCs w:val="22"/>
        </w:rPr>
      </w:pPr>
    </w:p>
    <w:p w14:paraId="631732B8" w14:textId="77777777" w:rsidR="00C01264" w:rsidRPr="0004733E" w:rsidRDefault="009D64FE" w:rsidP="00C01264">
      <w:pPr>
        <w:rPr>
          <w:szCs w:val="22"/>
        </w:rPr>
      </w:pPr>
      <w:r w:rsidRPr="0004733E">
        <w:rPr>
          <w:szCs w:val="22"/>
        </w:rPr>
        <w:t>Hara</w:t>
      </w:r>
      <w:r w:rsidRPr="0004733E">
        <w:rPr>
          <w:szCs w:val="22"/>
        </w:rPr>
        <w:t>ssing conduct may take many forms, including verbal acts and name-calling, as well as nonverbal behavior, such as graphic and written statements, or conduct that is physically threatening, harmful, or humiliating.  The more severe the conduct, the less nee</w:t>
      </w:r>
      <w:r w:rsidRPr="0004733E">
        <w:rPr>
          <w:szCs w:val="22"/>
        </w:rPr>
        <w:t>d there is to show a repetitive series of incidents to prove a hostile environment, particularly if the conduct is physical.  Indeed, a single or isolated incident of sexual violence may create a hostile environment.</w:t>
      </w:r>
    </w:p>
    <w:p w14:paraId="0C01A2C0" w14:textId="77777777" w:rsidR="009B2C02" w:rsidRPr="0004733E" w:rsidRDefault="009D64FE" w:rsidP="00C01264">
      <w:pPr>
        <w:rPr>
          <w:szCs w:val="22"/>
        </w:rPr>
      </w:pPr>
    </w:p>
    <w:p w14:paraId="35CD546D" w14:textId="77777777" w:rsidR="009B2C02" w:rsidRPr="0004733E" w:rsidRDefault="009D64FE" w:rsidP="00C01264">
      <w:pPr>
        <w:rPr>
          <w:szCs w:val="22"/>
        </w:rPr>
      </w:pPr>
      <w:r w:rsidRPr="0004733E">
        <w:rPr>
          <w:szCs w:val="22"/>
        </w:rPr>
        <w:t>Sex-based harassment may occur between</w:t>
      </w:r>
      <w:r w:rsidRPr="0004733E">
        <w:rPr>
          <w:szCs w:val="22"/>
        </w:rPr>
        <w:t xml:space="preserve"> students, between students and employees, between employees, between students and third parties, and between employees and third parties, regardless of the genders of the victim and harasser.</w:t>
      </w:r>
    </w:p>
    <w:p w14:paraId="212CA7AD" w14:textId="77777777" w:rsidR="00CB3396" w:rsidRPr="0004733E" w:rsidRDefault="009D64FE" w:rsidP="00C01264">
      <w:pPr>
        <w:rPr>
          <w:szCs w:val="22"/>
        </w:rPr>
      </w:pPr>
    </w:p>
    <w:p w14:paraId="492955AA" w14:textId="77777777" w:rsidR="00CB3396" w:rsidRPr="0004733E" w:rsidRDefault="009D64FE" w:rsidP="00C01264">
      <w:pPr>
        <w:rPr>
          <w:b/>
          <w:szCs w:val="22"/>
        </w:rPr>
      </w:pPr>
      <w:r w:rsidRPr="0004733E">
        <w:rPr>
          <w:b/>
          <w:szCs w:val="22"/>
        </w:rPr>
        <w:t>Complaints and Investigation Process</w:t>
      </w:r>
    </w:p>
    <w:p w14:paraId="51C82EFA" w14:textId="77777777" w:rsidR="00CB3396" w:rsidRPr="0004733E" w:rsidRDefault="009D64FE" w:rsidP="00C01264">
      <w:pPr>
        <w:rPr>
          <w:b/>
          <w:szCs w:val="22"/>
        </w:rPr>
      </w:pPr>
    </w:p>
    <w:p w14:paraId="07BF0CF5" w14:textId="77777777" w:rsidR="00CB3396" w:rsidRPr="0004733E" w:rsidRDefault="009D64FE" w:rsidP="00C01264">
      <w:pPr>
        <w:rPr>
          <w:szCs w:val="22"/>
        </w:rPr>
      </w:pPr>
      <w:r w:rsidRPr="0004733E">
        <w:rPr>
          <w:szCs w:val="22"/>
        </w:rPr>
        <w:t xml:space="preserve">The </w:t>
      </w:r>
      <w:r w:rsidRPr="0004733E">
        <w:rPr>
          <w:szCs w:val="22"/>
        </w:rPr>
        <w:t xml:space="preserve">responsibility to investigate complaints (and/or designate other individuals to conduct investigations) under this policy has been assigned to the Compliance Coordinator.  Students or employees who experience or witness conduct in violation of this policy </w:t>
      </w:r>
      <w:r w:rsidRPr="0004733E">
        <w:rPr>
          <w:szCs w:val="22"/>
        </w:rPr>
        <w:t>should immediately report it to the Compliance Coordinator or any member of the School’s Administration.  Any member of the School’s Administration receiving a complaint is required to immediately report it to the Compliance Coordinator.</w:t>
      </w:r>
    </w:p>
    <w:p w14:paraId="4760C834" w14:textId="77777777" w:rsidR="009E4B61" w:rsidRPr="0004733E" w:rsidRDefault="009D64FE" w:rsidP="00C01264">
      <w:pPr>
        <w:rPr>
          <w:szCs w:val="22"/>
        </w:rPr>
      </w:pPr>
    </w:p>
    <w:p w14:paraId="66ED4B61" w14:textId="0290987F" w:rsidR="009E4B61" w:rsidRPr="0004733E" w:rsidRDefault="009D64FE" w:rsidP="00C01264">
      <w:pPr>
        <w:rPr>
          <w:szCs w:val="22"/>
        </w:rPr>
      </w:pPr>
      <w:r w:rsidRPr="0004733E">
        <w:rPr>
          <w:szCs w:val="22"/>
        </w:rPr>
        <w:t>Complaints may be</w:t>
      </w:r>
      <w:r w:rsidRPr="0004733E">
        <w:rPr>
          <w:szCs w:val="22"/>
        </w:rPr>
        <w:t xml:space="preserve"> reported orally or by using the School’s Title IX Complaint Form.  The Title IX Complaint Form may be obtained from the </w:t>
      </w:r>
      <w:r w:rsidRPr="0004733E">
        <w:rPr>
          <w:szCs w:val="22"/>
        </w:rPr>
        <w:t>Compliance Coordinator</w:t>
      </w:r>
      <w:r>
        <w:rPr>
          <w:szCs w:val="22"/>
        </w:rPr>
        <w:t xml:space="preserve">, </w:t>
      </w:r>
      <w:r w:rsidR="006B590A" w:rsidRPr="0004733E">
        <w:rPr>
          <w:szCs w:val="22"/>
        </w:rPr>
        <w:t>the Head of School, t</w:t>
      </w:r>
      <w:r w:rsidR="006B590A">
        <w:rPr>
          <w:szCs w:val="22"/>
        </w:rPr>
        <w:t>he Director of Middle and Upper School</w:t>
      </w:r>
      <w:r w:rsidR="00637F58">
        <w:rPr>
          <w:szCs w:val="22"/>
        </w:rPr>
        <w:t>s</w:t>
      </w:r>
      <w:r w:rsidR="006B590A">
        <w:rPr>
          <w:szCs w:val="22"/>
        </w:rPr>
        <w:t>, or the Director of Finance and Operations</w:t>
      </w:r>
      <w:r w:rsidRPr="0004733E">
        <w:rPr>
          <w:szCs w:val="22"/>
        </w:rPr>
        <w:t xml:space="preserve">. </w:t>
      </w:r>
    </w:p>
    <w:p w14:paraId="3871B5EF" w14:textId="77777777" w:rsidR="00FF21BD" w:rsidRPr="0004733E" w:rsidRDefault="009D64FE" w:rsidP="00C01264">
      <w:pPr>
        <w:rPr>
          <w:szCs w:val="22"/>
        </w:rPr>
      </w:pPr>
    </w:p>
    <w:p w14:paraId="7D5D68AA" w14:textId="77777777" w:rsidR="00FF21BD" w:rsidRPr="0004733E" w:rsidRDefault="009D64FE" w:rsidP="00C01264">
      <w:pPr>
        <w:rPr>
          <w:szCs w:val="22"/>
        </w:rPr>
      </w:pPr>
      <w:r w:rsidRPr="0004733E">
        <w:rPr>
          <w:szCs w:val="22"/>
        </w:rPr>
        <w:t>Upon receipt of a complaint, the Compliance Coord</w:t>
      </w:r>
      <w:r w:rsidRPr="0004733E">
        <w:rPr>
          <w:szCs w:val="22"/>
        </w:rPr>
        <w:t xml:space="preserve">inator (or his or her designee) will promptly </w:t>
      </w:r>
      <w:proofErr w:type="gramStart"/>
      <w:r w:rsidRPr="0004733E">
        <w:rPr>
          <w:szCs w:val="22"/>
        </w:rPr>
        <w:t>conduct an investigation</w:t>
      </w:r>
      <w:proofErr w:type="gramEnd"/>
      <w:r w:rsidRPr="0004733E">
        <w:rPr>
          <w:szCs w:val="22"/>
        </w:rPr>
        <w:t xml:space="preserve"> i</w:t>
      </w:r>
      <w:r>
        <w:rPr>
          <w:szCs w:val="22"/>
        </w:rPr>
        <w:t xml:space="preserve">n such a way as to maintain </w:t>
      </w:r>
      <w:r w:rsidRPr="0004733E">
        <w:rPr>
          <w:szCs w:val="22"/>
        </w:rPr>
        <w:t>confidentiality to the extent practical under the circumstances.  The Compliance Coordinator (or his or her designee) will conduct the investigation in comp</w:t>
      </w:r>
      <w:r w:rsidRPr="0004733E">
        <w:rPr>
          <w:szCs w:val="22"/>
        </w:rPr>
        <w:t xml:space="preserve">liance with the School’s Title IX Grievance Procedures.  </w:t>
      </w:r>
    </w:p>
    <w:p w14:paraId="03852F9B" w14:textId="77777777" w:rsidR="00FF21BD" w:rsidRPr="0004733E" w:rsidRDefault="009D64FE" w:rsidP="00C01264">
      <w:pPr>
        <w:rPr>
          <w:szCs w:val="22"/>
        </w:rPr>
      </w:pPr>
    </w:p>
    <w:p w14:paraId="27800BE0" w14:textId="77777777" w:rsidR="00FF21BD" w:rsidRPr="0004733E" w:rsidRDefault="009D64FE" w:rsidP="00C01264">
      <w:pPr>
        <w:rPr>
          <w:szCs w:val="22"/>
        </w:rPr>
      </w:pPr>
      <w:r w:rsidRPr="0004733E">
        <w:rPr>
          <w:szCs w:val="22"/>
        </w:rPr>
        <w:t>Any student or employee who is found to have harassed another student or employee will be subject to disciplinary action (up to and including expulsion and/or termination of employment).  The Schoo</w:t>
      </w:r>
      <w:r w:rsidRPr="0004733E">
        <w:rPr>
          <w:szCs w:val="22"/>
        </w:rPr>
        <w:t>l will also take appropriate corrective action to address harassment by third parties.</w:t>
      </w:r>
    </w:p>
    <w:p w14:paraId="76545D8C" w14:textId="77777777" w:rsidR="00C01264" w:rsidRPr="0004733E" w:rsidRDefault="009D64FE" w:rsidP="002E308D">
      <w:pPr>
        <w:rPr>
          <w:szCs w:val="22"/>
        </w:rPr>
      </w:pPr>
    </w:p>
    <w:p w14:paraId="1D95C783" w14:textId="77777777" w:rsidR="002E308D" w:rsidRPr="0004733E" w:rsidRDefault="009D64FE" w:rsidP="002E308D">
      <w:pPr>
        <w:outlineLvl w:val="1"/>
        <w:rPr>
          <w:b/>
          <w:szCs w:val="22"/>
        </w:rPr>
      </w:pPr>
      <w:r w:rsidRPr="0004733E">
        <w:rPr>
          <w:b/>
          <w:szCs w:val="22"/>
        </w:rPr>
        <w:t xml:space="preserve">Prohibition Against Retaliation </w:t>
      </w:r>
    </w:p>
    <w:p w14:paraId="1613A59D" w14:textId="77777777" w:rsidR="00A01566" w:rsidRPr="0004733E" w:rsidRDefault="009D64FE" w:rsidP="00A01566">
      <w:pPr>
        <w:rPr>
          <w:b/>
          <w:szCs w:val="22"/>
        </w:rPr>
      </w:pPr>
    </w:p>
    <w:p w14:paraId="0AC53448" w14:textId="77777777" w:rsidR="00A01566" w:rsidRPr="0004733E" w:rsidRDefault="009D64FE" w:rsidP="00A01566">
      <w:pPr>
        <w:rPr>
          <w:szCs w:val="22"/>
        </w:rPr>
      </w:pPr>
      <w:r w:rsidRPr="0004733E">
        <w:rPr>
          <w:szCs w:val="22"/>
        </w:rPr>
        <w:lastRenderedPageBreak/>
        <w:t>Retaliation or reprisal by any student or employee against complainants, witnesses, or any other individual who reports allegations of</w:t>
      </w:r>
      <w:r w:rsidRPr="0004733E">
        <w:rPr>
          <w:szCs w:val="22"/>
        </w:rPr>
        <w:t xml:space="preserve"> sex-based harassment, discrimination, and/or violence or provides information to assist in an investigation is strictly prohibited.  Individuals who believe they have been retaliated against in connection with such action should immediately report such co</w:t>
      </w:r>
      <w:r w:rsidRPr="0004733E">
        <w:rPr>
          <w:szCs w:val="22"/>
        </w:rPr>
        <w:t>nduct to the Compliance Coordinator.</w:t>
      </w:r>
    </w:p>
    <w:p w14:paraId="4A736321" w14:textId="77777777" w:rsidR="00FF21BD" w:rsidRPr="0004733E" w:rsidRDefault="009D64FE" w:rsidP="002E308D">
      <w:pPr>
        <w:rPr>
          <w:szCs w:val="22"/>
        </w:rPr>
      </w:pPr>
    </w:p>
    <w:p w14:paraId="47AED2F0" w14:textId="77777777" w:rsidR="00411C1F" w:rsidRPr="0004733E" w:rsidRDefault="009D64FE" w:rsidP="00D85439">
      <w:pPr>
        <w:rPr>
          <w:szCs w:val="22"/>
        </w:rPr>
      </w:pPr>
      <w:r w:rsidRPr="0004733E">
        <w:rPr>
          <w:szCs w:val="22"/>
        </w:rPr>
        <w:t>Any student or employee who is found to</w:t>
      </w:r>
      <w:r>
        <w:rPr>
          <w:szCs w:val="22"/>
        </w:rPr>
        <w:t xml:space="preserve"> have retaliated against a</w:t>
      </w:r>
      <w:r w:rsidRPr="0004733E">
        <w:rPr>
          <w:szCs w:val="22"/>
        </w:rPr>
        <w:t xml:space="preserve"> student or employee in connection with a good-faith report of sex-based harassment or discrimination will be subject to disciplinary action (up to and including expulsion and/or termination of employment).  </w:t>
      </w:r>
    </w:p>
    <w:p w14:paraId="18DF14E3" w14:textId="77777777" w:rsidR="00CE4293" w:rsidRPr="0004733E" w:rsidRDefault="009D64FE" w:rsidP="00D85439">
      <w:pPr>
        <w:rPr>
          <w:szCs w:val="22"/>
        </w:rPr>
      </w:pPr>
    </w:p>
    <w:p w14:paraId="4130F7D2" w14:textId="77777777" w:rsidR="00F72EFD" w:rsidRPr="0004733E" w:rsidRDefault="009D64FE" w:rsidP="00D85439">
      <w:pPr>
        <w:rPr>
          <w:szCs w:val="22"/>
        </w:rPr>
      </w:pPr>
    </w:p>
    <w:p w14:paraId="0EA00557" w14:textId="77777777" w:rsidR="00F72EFD" w:rsidRPr="0004733E" w:rsidRDefault="009D64FE" w:rsidP="00D85439">
      <w:pPr>
        <w:rPr>
          <w:szCs w:val="22"/>
        </w:rPr>
      </w:pPr>
    </w:p>
    <w:sectPr w:rsidR="00F72EFD" w:rsidRPr="0004733E" w:rsidSect="006B590A">
      <w:headerReference w:type="default" r:id="rId8"/>
      <w:footerReference w:type="default" r:id="rId9"/>
      <w:pgSz w:w="12240" w:h="15840"/>
      <w:pgMar w:top="90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D037" w14:textId="77777777" w:rsidR="009D64FE" w:rsidRDefault="009D64FE">
      <w:r>
        <w:separator/>
      </w:r>
    </w:p>
  </w:endnote>
  <w:endnote w:type="continuationSeparator" w:id="0">
    <w:p w14:paraId="5752ECDF" w14:textId="77777777" w:rsidR="009D64FE" w:rsidRDefault="009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702102"/>
      <w:docPartObj>
        <w:docPartGallery w:val="Page Numbers (Bottom of Page)"/>
        <w:docPartUnique/>
      </w:docPartObj>
    </w:sdtPr>
    <w:sdtEndPr>
      <w:rPr>
        <w:noProof/>
      </w:rPr>
    </w:sdtEndPr>
    <w:sdtContent>
      <w:p w14:paraId="21F7473F" w14:textId="77777777" w:rsidR="00B8161A" w:rsidRDefault="009D64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74EDDE" w14:textId="0BE6D768" w:rsidR="00B8161A" w:rsidRPr="00413550" w:rsidRDefault="006B590A" w:rsidP="00F261C5">
    <w:pPr>
      <w:pStyle w:val="Footer"/>
      <w:rPr>
        <w:szCs w:val="20"/>
      </w:rPr>
    </w:pPr>
    <w:r>
      <w:rPr>
        <w:szCs w:val="20"/>
      </w:rPr>
      <w:tab/>
    </w:r>
    <w:r w:rsidR="009D64FE">
      <w:rPr>
        <w:szCs w:val="20"/>
      </w:rPr>
      <w:tab/>
      <w:t>5</w:t>
    </w:r>
    <w:r w:rsidR="009D64FE" w:rsidRPr="00413550">
      <w:rPr>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DE97" w14:textId="77777777" w:rsidR="009D64FE" w:rsidRDefault="009D64FE">
      <w:r>
        <w:separator/>
      </w:r>
    </w:p>
  </w:footnote>
  <w:footnote w:type="continuationSeparator" w:id="0">
    <w:p w14:paraId="1EF7066E" w14:textId="77777777" w:rsidR="009D64FE" w:rsidRDefault="009D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1F45" w14:textId="5C23ED16" w:rsidR="00B8161A" w:rsidRPr="00B8161A" w:rsidRDefault="009D64FE" w:rsidP="00B8161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63C"/>
    <w:multiLevelType w:val="hybridMultilevel"/>
    <w:tmpl w:val="9B580290"/>
    <w:lvl w:ilvl="0" w:tplc="0E1EFAA8">
      <w:start w:val="1"/>
      <w:numFmt w:val="bullet"/>
      <w:lvlText w:val=""/>
      <w:lvlJc w:val="left"/>
      <w:pPr>
        <w:ind w:left="720" w:hanging="360"/>
      </w:pPr>
      <w:rPr>
        <w:rFonts w:ascii="Symbol" w:hAnsi="Symbol" w:hint="default"/>
      </w:rPr>
    </w:lvl>
    <w:lvl w:ilvl="1" w:tplc="B956D02C" w:tentative="1">
      <w:start w:val="1"/>
      <w:numFmt w:val="bullet"/>
      <w:lvlText w:val="o"/>
      <w:lvlJc w:val="left"/>
      <w:pPr>
        <w:ind w:left="1440" w:hanging="360"/>
      </w:pPr>
      <w:rPr>
        <w:rFonts w:ascii="Courier New" w:hAnsi="Courier New" w:hint="default"/>
      </w:rPr>
    </w:lvl>
    <w:lvl w:ilvl="2" w:tplc="B64ACDD2" w:tentative="1">
      <w:start w:val="1"/>
      <w:numFmt w:val="bullet"/>
      <w:lvlText w:val=""/>
      <w:lvlJc w:val="left"/>
      <w:pPr>
        <w:ind w:left="2160" w:hanging="360"/>
      </w:pPr>
      <w:rPr>
        <w:rFonts w:ascii="Wingdings" w:hAnsi="Wingdings" w:hint="default"/>
      </w:rPr>
    </w:lvl>
    <w:lvl w:ilvl="3" w:tplc="AFBC4080" w:tentative="1">
      <w:start w:val="1"/>
      <w:numFmt w:val="bullet"/>
      <w:lvlText w:val=""/>
      <w:lvlJc w:val="left"/>
      <w:pPr>
        <w:ind w:left="2880" w:hanging="360"/>
      </w:pPr>
      <w:rPr>
        <w:rFonts w:ascii="Symbol" w:hAnsi="Symbol" w:hint="default"/>
      </w:rPr>
    </w:lvl>
    <w:lvl w:ilvl="4" w:tplc="C9462F0C" w:tentative="1">
      <w:start w:val="1"/>
      <w:numFmt w:val="bullet"/>
      <w:lvlText w:val="o"/>
      <w:lvlJc w:val="left"/>
      <w:pPr>
        <w:ind w:left="3600" w:hanging="360"/>
      </w:pPr>
      <w:rPr>
        <w:rFonts w:ascii="Courier New" w:hAnsi="Courier New" w:hint="default"/>
      </w:rPr>
    </w:lvl>
    <w:lvl w:ilvl="5" w:tplc="3BCC7C5E" w:tentative="1">
      <w:start w:val="1"/>
      <w:numFmt w:val="bullet"/>
      <w:lvlText w:val=""/>
      <w:lvlJc w:val="left"/>
      <w:pPr>
        <w:ind w:left="4320" w:hanging="360"/>
      </w:pPr>
      <w:rPr>
        <w:rFonts w:ascii="Wingdings" w:hAnsi="Wingdings" w:hint="default"/>
      </w:rPr>
    </w:lvl>
    <w:lvl w:ilvl="6" w:tplc="8FB810AC" w:tentative="1">
      <w:start w:val="1"/>
      <w:numFmt w:val="bullet"/>
      <w:lvlText w:val=""/>
      <w:lvlJc w:val="left"/>
      <w:pPr>
        <w:ind w:left="5040" w:hanging="360"/>
      </w:pPr>
      <w:rPr>
        <w:rFonts w:ascii="Symbol" w:hAnsi="Symbol" w:hint="default"/>
      </w:rPr>
    </w:lvl>
    <w:lvl w:ilvl="7" w:tplc="1A7678DC" w:tentative="1">
      <w:start w:val="1"/>
      <w:numFmt w:val="bullet"/>
      <w:lvlText w:val="o"/>
      <w:lvlJc w:val="left"/>
      <w:pPr>
        <w:ind w:left="5760" w:hanging="360"/>
      </w:pPr>
      <w:rPr>
        <w:rFonts w:ascii="Courier New" w:hAnsi="Courier New" w:hint="default"/>
      </w:rPr>
    </w:lvl>
    <w:lvl w:ilvl="8" w:tplc="FFDE9FB2" w:tentative="1">
      <w:start w:val="1"/>
      <w:numFmt w:val="bullet"/>
      <w:lvlText w:val=""/>
      <w:lvlJc w:val="left"/>
      <w:pPr>
        <w:ind w:left="6480" w:hanging="360"/>
      </w:pPr>
      <w:rPr>
        <w:rFonts w:ascii="Wingdings" w:hAnsi="Wingdings" w:hint="default"/>
      </w:rPr>
    </w:lvl>
  </w:abstractNum>
  <w:abstractNum w:abstractNumId="1" w15:restartNumberingAfterBreak="0">
    <w:nsid w:val="477061DD"/>
    <w:multiLevelType w:val="hybridMultilevel"/>
    <w:tmpl w:val="553086AC"/>
    <w:lvl w:ilvl="0" w:tplc="25DA976C">
      <w:start w:val="1"/>
      <w:numFmt w:val="bullet"/>
      <w:lvlText w:val=""/>
      <w:lvlJc w:val="left"/>
      <w:pPr>
        <w:ind w:left="720" w:hanging="360"/>
      </w:pPr>
      <w:rPr>
        <w:rFonts w:ascii="Symbol" w:hAnsi="Symbol" w:hint="default"/>
      </w:rPr>
    </w:lvl>
    <w:lvl w:ilvl="1" w:tplc="7B1EA20E">
      <w:start w:val="1"/>
      <w:numFmt w:val="bullet"/>
      <w:lvlText w:val="o"/>
      <w:lvlJc w:val="left"/>
      <w:pPr>
        <w:ind w:left="1440" w:hanging="360"/>
      </w:pPr>
      <w:rPr>
        <w:rFonts w:ascii="Courier New" w:hAnsi="Courier New" w:hint="default"/>
      </w:rPr>
    </w:lvl>
    <w:lvl w:ilvl="2" w:tplc="7BE46038" w:tentative="1">
      <w:start w:val="1"/>
      <w:numFmt w:val="bullet"/>
      <w:lvlText w:val=""/>
      <w:lvlJc w:val="left"/>
      <w:pPr>
        <w:ind w:left="2160" w:hanging="360"/>
      </w:pPr>
      <w:rPr>
        <w:rFonts w:ascii="Wingdings" w:hAnsi="Wingdings" w:hint="default"/>
      </w:rPr>
    </w:lvl>
    <w:lvl w:ilvl="3" w:tplc="9AAEAB38" w:tentative="1">
      <w:start w:val="1"/>
      <w:numFmt w:val="bullet"/>
      <w:lvlText w:val=""/>
      <w:lvlJc w:val="left"/>
      <w:pPr>
        <w:ind w:left="2880" w:hanging="360"/>
      </w:pPr>
      <w:rPr>
        <w:rFonts w:ascii="Symbol" w:hAnsi="Symbol" w:hint="default"/>
      </w:rPr>
    </w:lvl>
    <w:lvl w:ilvl="4" w:tplc="23FCD1F6" w:tentative="1">
      <w:start w:val="1"/>
      <w:numFmt w:val="bullet"/>
      <w:lvlText w:val="o"/>
      <w:lvlJc w:val="left"/>
      <w:pPr>
        <w:ind w:left="3600" w:hanging="360"/>
      </w:pPr>
      <w:rPr>
        <w:rFonts w:ascii="Courier New" w:hAnsi="Courier New" w:hint="default"/>
      </w:rPr>
    </w:lvl>
    <w:lvl w:ilvl="5" w:tplc="4A864D9C" w:tentative="1">
      <w:start w:val="1"/>
      <w:numFmt w:val="bullet"/>
      <w:lvlText w:val=""/>
      <w:lvlJc w:val="left"/>
      <w:pPr>
        <w:ind w:left="4320" w:hanging="360"/>
      </w:pPr>
      <w:rPr>
        <w:rFonts w:ascii="Wingdings" w:hAnsi="Wingdings" w:hint="default"/>
      </w:rPr>
    </w:lvl>
    <w:lvl w:ilvl="6" w:tplc="AF969B08" w:tentative="1">
      <w:start w:val="1"/>
      <w:numFmt w:val="bullet"/>
      <w:lvlText w:val=""/>
      <w:lvlJc w:val="left"/>
      <w:pPr>
        <w:ind w:left="5040" w:hanging="360"/>
      </w:pPr>
      <w:rPr>
        <w:rFonts w:ascii="Symbol" w:hAnsi="Symbol" w:hint="default"/>
      </w:rPr>
    </w:lvl>
    <w:lvl w:ilvl="7" w:tplc="22DEFAAC" w:tentative="1">
      <w:start w:val="1"/>
      <w:numFmt w:val="bullet"/>
      <w:lvlText w:val="o"/>
      <w:lvlJc w:val="left"/>
      <w:pPr>
        <w:ind w:left="5760" w:hanging="360"/>
      </w:pPr>
      <w:rPr>
        <w:rFonts w:ascii="Courier New" w:hAnsi="Courier New" w:hint="default"/>
      </w:rPr>
    </w:lvl>
    <w:lvl w:ilvl="8" w:tplc="35D47098" w:tentative="1">
      <w:start w:val="1"/>
      <w:numFmt w:val="bullet"/>
      <w:lvlText w:val=""/>
      <w:lvlJc w:val="left"/>
      <w:pPr>
        <w:ind w:left="6480" w:hanging="360"/>
      </w:pPr>
      <w:rPr>
        <w:rFonts w:ascii="Wingdings" w:hAnsi="Wingdings" w:hint="default"/>
      </w:rPr>
    </w:lvl>
  </w:abstractNum>
  <w:abstractNum w:abstractNumId="2" w15:restartNumberingAfterBreak="0">
    <w:nsid w:val="59247F25"/>
    <w:multiLevelType w:val="hybridMultilevel"/>
    <w:tmpl w:val="2BE668D6"/>
    <w:lvl w:ilvl="0" w:tplc="EFDC49DA">
      <w:start w:val="1"/>
      <w:numFmt w:val="bullet"/>
      <w:lvlText w:val=""/>
      <w:lvlJc w:val="left"/>
      <w:pPr>
        <w:ind w:left="1080" w:hanging="360"/>
      </w:pPr>
      <w:rPr>
        <w:rFonts w:ascii="Symbol" w:hAnsi="Symbol" w:hint="default"/>
      </w:rPr>
    </w:lvl>
    <w:lvl w:ilvl="1" w:tplc="921CADA4" w:tentative="1">
      <w:start w:val="1"/>
      <w:numFmt w:val="bullet"/>
      <w:lvlText w:val="o"/>
      <w:lvlJc w:val="left"/>
      <w:pPr>
        <w:ind w:left="1800" w:hanging="360"/>
      </w:pPr>
      <w:rPr>
        <w:rFonts w:ascii="Courier New" w:hAnsi="Courier New" w:hint="default"/>
      </w:rPr>
    </w:lvl>
    <w:lvl w:ilvl="2" w:tplc="E7601236" w:tentative="1">
      <w:start w:val="1"/>
      <w:numFmt w:val="bullet"/>
      <w:lvlText w:val=""/>
      <w:lvlJc w:val="left"/>
      <w:pPr>
        <w:ind w:left="2520" w:hanging="360"/>
      </w:pPr>
      <w:rPr>
        <w:rFonts w:ascii="Wingdings" w:hAnsi="Wingdings" w:hint="default"/>
      </w:rPr>
    </w:lvl>
    <w:lvl w:ilvl="3" w:tplc="FD068600" w:tentative="1">
      <w:start w:val="1"/>
      <w:numFmt w:val="bullet"/>
      <w:lvlText w:val=""/>
      <w:lvlJc w:val="left"/>
      <w:pPr>
        <w:ind w:left="3240" w:hanging="360"/>
      </w:pPr>
      <w:rPr>
        <w:rFonts w:ascii="Symbol" w:hAnsi="Symbol" w:hint="default"/>
      </w:rPr>
    </w:lvl>
    <w:lvl w:ilvl="4" w:tplc="11565760" w:tentative="1">
      <w:start w:val="1"/>
      <w:numFmt w:val="bullet"/>
      <w:lvlText w:val="o"/>
      <w:lvlJc w:val="left"/>
      <w:pPr>
        <w:ind w:left="3960" w:hanging="360"/>
      </w:pPr>
      <w:rPr>
        <w:rFonts w:ascii="Courier New" w:hAnsi="Courier New" w:hint="default"/>
      </w:rPr>
    </w:lvl>
    <w:lvl w:ilvl="5" w:tplc="6AF6FB94" w:tentative="1">
      <w:start w:val="1"/>
      <w:numFmt w:val="bullet"/>
      <w:lvlText w:val=""/>
      <w:lvlJc w:val="left"/>
      <w:pPr>
        <w:ind w:left="4680" w:hanging="360"/>
      </w:pPr>
      <w:rPr>
        <w:rFonts w:ascii="Wingdings" w:hAnsi="Wingdings" w:hint="default"/>
      </w:rPr>
    </w:lvl>
    <w:lvl w:ilvl="6" w:tplc="06C4F300" w:tentative="1">
      <w:start w:val="1"/>
      <w:numFmt w:val="bullet"/>
      <w:lvlText w:val=""/>
      <w:lvlJc w:val="left"/>
      <w:pPr>
        <w:ind w:left="5400" w:hanging="360"/>
      </w:pPr>
      <w:rPr>
        <w:rFonts w:ascii="Symbol" w:hAnsi="Symbol" w:hint="default"/>
      </w:rPr>
    </w:lvl>
    <w:lvl w:ilvl="7" w:tplc="0ED6680C" w:tentative="1">
      <w:start w:val="1"/>
      <w:numFmt w:val="bullet"/>
      <w:lvlText w:val="o"/>
      <w:lvlJc w:val="left"/>
      <w:pPr>
        <w:ind w:left="6120" w:hanging="360"/>
      </w:pPr>
      <w:rPr>
        <w:rFonts w:ascii="Courier New" w:hAnsi="Courier New" w:hint="default"/>
      </w:rPr>
    </w:lvl>
    <w:lvl w:ilvl="8" w:tplc="2D988E8A"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0A"/>
    <w:rsid w:val="00637F58"/>
    <w:rsid w:val="006B590A"/>
    <w:rsid w:val="009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F3D"/>
    <w:rPr>
      <w:rFonts w:eastAsia="Times New Roman" w:cs="Times New Roman"/>
      <w:sz w:val="22"/>
    </w:rPr>
  </w:style>
  <w:style w:type="paragraph" w:styleId="Heading1">
    <w:name w:val="heading 1"/>
    <w:basedOn w:val="Normal"/>
    <w:link w:val="Heading1Char"/>
    <w:uiPriority w:val="9"/>
    <w:qFormat/>
    <w:rsid w:val="007215BF"/>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7215BF"/>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7215BF"/>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7215BF"/>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7215BF"/>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7215BF"/>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7215BF"/>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7215BF"/>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7215BF"/>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215BF"/>
    <w:pPr>
      <w:spacing w:after="240"/>
      <w:ind w:firstLine="720"/>
    </w:pPr>
  </w:style>
  <w:style w:type="character" w:customStyle="1" w:styleId="BodyTextChar">
    <w:name w:val="Body Text Char"/>
    <w:basedOn w:val="DefaultParagraphFont"/>
    <w:link w:val="BodyText"/>
    <w:uiPriority w:val="99"/>
    <w:rsid w:val="007215BF"/>
  </w:style>
  <w:style w:type="character" w:customStyle="1" w:styleId="Heading1Char">
    <w:name w:val="Heading 1 Char"/>
    <w:basedOn w:val="DefaultParagraphFont"/>
    <w:link w:val="Heading1"/>
    <w:uiPriority w:val="9"/>
    <w:rsid w:val="007215BF"/>
    <w:rPr>
      <w:rFonts w:eastAsiaTheme="majorEastAsia" w:cstheme="majorBidi"/>
      <w:bCs/>
      <w:szCs w:val="28"/>
    </w:rPr>
  </w:style>
  <w:style w:type="character" w:customStyle="1" w:styleId="Heading2Char">
    <w:name w:val="Heading 2 Char"/>
    <w:basedOn w:val="DefaultParagraphFont"/>
    <w:link w:val="Heading2"/>
    <w:uiPriority w:val="9"/>
    <w:semiHidden/>
    <w:rsid w:val="007215BF"/>
    <w:rPr>
      <w:rFonts w:eastAsiaTheme="majorEastAsia" w:cstheme="majorBidi"/>
      <w:bCs/>
      <w:szCs w:val="26"/>
    </w:rPr>
  </w:style>
  <w:style w:type="character" w:customStyle="1" w:styleId="Heading3Char">
    <w:name w:val="Heading 3 Char"/>
    <w:basedOn w:val="DefaultParagraphFont"/>
    <w:link w:val="Heading3"/>
    <w:uiPriority w:val="9"/>
    <w:semiHidden/>
    <w:rsid w:val="007215BF"/>
    <w:rPr>
      <w:rFonts w:eastAsiaTheme="majorEastAsia" w:cstheme="majorBidi"/>
      <w:bCs/>
    </w:rPr>
  </w:style>
  <w:style w:type="character" w:customStyle="1" w:styleId="Heading4Char">
    <w:name w:val="Heading 4 Char"/>
    <w:basedOn w:val="DefaultParagraphFont"/>
    <w:link w:val="Heading4"/>
    <w:uiPriority w:val="9"/>
    <w:semiHidden/>
    <w:rsid w:val="007215BF"/>
    <w:rPr>
      <w:rFonts w:eastAsiaTheme="majorEastAsia" w:cstheme="majorBidi"/>
      <w:bCs/>
      <w:iCs/>
    </w:rPr>
  </w:style>
  <w:style w:type="character" w:customStyle="1" w:styleId="Heading5Char">
    <w:name w:val="Heading 5 Char"/>
    <w:basedOn w:val="DefaultParagraphFont"/>
    <w:link w:val="Heading5"/>
    <w:uiPriority w:val="9"/>
    <w:semiHidden/>
    <w:rsid w:val="007215BF"/>
    <w:rPr>
      <w:rFonts w:eastAsiaTheme="majorEastAsia" w:cstheme="majorBidi"/>
    </w:rPr>
  </w:style>
  <w:style w:type="character" w:customStyle="1" w:styleId="Heading6Char">
    <w:name w:val="Heading 6 Char"/>
    <w:basedOn w:val="DefaultParagraphFont"/>
    <w:link w:val="Heading6"/>
    <w:uiPriority w:val="9"/>
    <w:semiHidden/>
    <w:rsid w:val="007215BF"/>
    <w:rPr>
      <w:rFonts w:eastAsiaTheme="majorEastAsia" w:cstheme="majorBidi"/>
      <w:iCs/>
    </w:rPr>
  </w:style>
  <w:style w:type="character" w:customStyle="1" w:styleId="Heading7Char">
    <w:name w:val="Heading 7 Char"/>
    <w:basedOn w:val="DefaultParagraphFont"/>
    <w:link w:val="Heading7"/>
    <w:uiPriority w:val="9"/>
    <w:semiHidden/>
    <w:rsid w:val="007215BF"/>
    <w:rPr>
      <w:rFonts w:eastAsiaTheme="majorEastAsia" w:cstheme="majorBidi"/>
      <w:iCs/>
    </w:rPr>
  </w:style>
  <w:style w:type="character" w:customStyle="1" w:styleId="Heading8Char">
    <w:name w:val="Heading 8 Char"/>
    <w:basedOn w:val="DefaultParagraphFont"/>
    <w:link w:val="Heading8"/>
    <w:uiPriority w:val="9"/>
    <w:semiHidden/>
    <w:rsid w:val="007215BF"/>
    <w:rPr>
      <w:rFonts w:eastAsiaTheme="majorEastAsia" w:cstheme="majorBidi"/>
      <w:szCs w:val="20"/>
    </w:rPr>
  </w:style>
  <w:style w:type="character" w:customStyle="1" w:styleId="Heading9Char">
    <w:name w:val="Heading 9 Char"/>
    <w:basedOn w:val="DefaultParagraphFont"/>
    <w:link w:val="Heading9"/>
    <w:uiPriority w:val="9"/>
    <w:semiHidden/>
    <w:rsid w:val="007215BF"/>
    <w:rPr>
      <w:rFonts w:eastAsiaTheme="majorEastAsia" w:cstheme="majorBidi"/>
      <w:iCs/>
      <w:szCs w:val="20"/>
    </w:rPr>
  </w:style>
  <w:style w:type="paragraph" w:styleId="TOC1">
    <w:name w:val="toc 1"/>
    <w:basedOn w:val="Normal"/>
    <w:next w:val="Normal"/>
    <w:autoRedefine/>
    <w:uiPriority w:val="39"/>
    <w:qFormat/>
    <w:rsid w:val="00A3213E"/>
    <w:pPr>
      <w:spacing w:after="240"/>
    </w:pPr>
  </w:style>
  <w:style w:type="paragraph" w:styleId="TOC2">
    <w:name w:val="toc 2"/>
    <w:basedOn w:val="Normal"/>
    <w:next w:val="Normal"/>
    <w:autoRedefine/>
    <w:uiPriority w:val="39"/>
    <w:qFormat/>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7215BF"/>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7215BF"/>
    <w:rPr>
      <w:rFonts w:eastAsiaTheme="majorEastAsia" w:cstheme="majorBidi"/>
      <w:b/>
      <w:spacing w:val="5"/>
      <w:kern w:val="28"/>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qFormat/>
    <w:rsid w:val="008C6DCD"/>
    <w:pPr>
      <w:tabs>
        <w:tab w:val="center" w:pos="4680"/>
        <w:tab w:val="right" w:pos="9360"/>
      </w:tabs>
    </w:pPr>
  </w:style>
  <w:style w:type="character" w:customStyle="1" w:styleId="HeaderChar">
    <w:name w:val="Header Char"/>
    <w:basedOn w:val="DefaultParagraphFont"/>
    <w:link w:val="Header"/>
    <w:uiPriority w:val="99"/>
    <w:rsid w:val="008C6DCD"/>
  </w:style>
  <w:style w:type="paragraph" w:styleId="Footer">
    <w:name w:val="footer"/>
    <w:basedOn w:val="Normal"/>
    <w:link w:val="FooterChar"/>
    <w:uiPriority w:val="99"/>
    <w:unhideWhenUsed/>
    <w:qFormat/>
    <w:rsid w:val="008C6DCD"/>
    <w:pPr>
      <w:tabs>
        <w:tab w:val="center" w:pos="4680"/>
        <w:tab w:val="right" w:pos="9360"/>
      </w:tabs>
    </w:pPr>
    <w:rPr>
      <w:sz w:val="20"/>
    </w:rPr>
  </w:style>
  <w:style w:type="character" w:customStyle="1" w:styleId="FooterChar">
    <w:name w:val="Footer Char"/>
    <w:basedOn w:val="DefaultParagraphFont"/>
    <w:link w:val="Footer"/>
    <w:uiPriority w:val="99"/>
    <w:rsid w:val="008C6DCD"/>
    <w:rPr>
      <w:sz w:val="20"/>
    </w:rPr>
  </w:style>
  <w:style w:type="paragraph" w:styleId="CommentText">
    <w:name w:val="annotation text"/>
    <w:basedOn w:val="Normal"/>
    <w:link w:val="CommentTextChar"/>
    <w:uiPriority w:val="99"/>
    <w:rsid w:val="00000F3D"/>
    <w:rPr>
      <w:szCs w:val="20"/>
    </w:rPr>
  </w:style>
  <w:style w:type="character" w:customStyle="1" w:styleId="CommentTextChar">
    <w:name w:val="Comment Text Char"/>
    <w:basedOn w:val="DefaultParagraphFont"/>
    <w:link w:val="CommentText"/>
    <w:uiPriority w:val="99"/>
    <w:rsid w:val="00000F3D"/>
    <w:rPr>
      <w:rFonts w:eastAsia="Times New Roman" w:cs="Times New Roman"/>
      <w:sz w:val="22"/>
      <w:szCs w:val="20"/>
    </w:rPr>
  </w:style>
  <w:style w:type="character" w:styleId="CommentReference">
    <w:name w:val="annotation reference"/>
    <w:basedOn w:val="DefaultParagraphFont"/>
    <w:uiPriority w:val="99"/>
    <w:semiHidden/>
    <w:rsid w:val="00000F3D"/>
    <w:rPr>
      <w:rFonts w:cs="Times New Roman"/>
      <w:sz w:val="16"/>
      <w:szCs w:val="16"/>
    </w:rPr>
  </w:style>
  <w:style w:type="paragraph" w:styleId="BodyText3">
    <w:name w:val="Body Text 3"/>
    <w:basedOn w:val="Normal"/>
    <w:link w:val="BodyText3Char"/>
    <w:uiPriority w:val="99"/>
    <w:rsid w:val="00000F3D"/>
    <w:pPr>
      <w:overflowPunct w:val="0"/>
      <w:autoSpaceDE w:val="0"/>
      <w:autoSpaceDN w:val="0"/>
      <w:adjustRightInd w:val="0"/>
      <w:textAlignment w:val="baseline"/>
    </w:pPr>
    <w:rPr>
      <w:rFonts w:ascii="Tahoma" w:hAnsi="Tahoma"/>
      <w:sz w:val="18"/>
      <w:szCs w:val="20"/>
    </w:rPr>
  </w:style>
  <w:style w:type="character" w:customStyle="1" w:styleId="BodyText3Char">
    <w:name w:val="Body Text 3 Char"/>
    <w:basedOn w:val="DefaultParagraphFont"/>
    <w:link w:val="BodyText3"/>
    <w:uiPriority w:val="99"/>
    <w:rsid w:val="00000F3D"/>
    <w:rPr>
      <w:rFonts w:ascii="Tahoma" w:eastAsia="Times New Roman" w:hAnsi="Tahoma" w:cs="Times New Roman"/>
      <w:sz w:val="18"/>
      <w:szCs w:val="20"/>
    </w:rPr>
  </w:style>
  <w:style w:type="paragraph" w:customStyle="1" w:styleId="Style1">
    <w:name w:val="Style 1"/>
    <w:rsid w:val="00000F3D"/>
    <w:pPr>
      <w:widowControl w:val="0"/>
      <w:autoSpaceDE w:val="0"/>
      <w:autoSpaceDN w:val="0"/>
      <w:adjustRightInd w:val="0"/>
    </w:pPr>
    <w:rPr>
      <w:rFonts w:eastAsia="Times New Roman" w:cs="Times New Roman"/>
      <w:sz w:val="20"/>
      <w:szCs w:val="20"/>
    </w:rPr>
  </w:style>
  <w:style w:type="paragraph" w:customStyle="1" w:styleId="Body">
    <w:name w:val="Body"/>
    <w:basedOn w:val="Normal"/>
    <w:rsid w:val="00000F3D"/>
    <w:pPr>
      <w:widowControl w:val="0"/>
      <w:tabs>
        <w:tab w:val="left" w:pos="180"/>
      </w:tabs>
      <w:suppressAutoHyphens/>
      <w:autoSpaceDE w:val="0"/>
      <w:autoSpaceDN w:val="0"/>
      <w:adjustRightInd w:val="0"/>
      <w:spacing w:before="120" w:line="210" w:lineRule="atLeast"/>
      <w:jc w:val="both"/>
      <w:textAlignment w:val="center"/>
    </w:pPr>
    <w:rPr>
      <w:rFonts w:ascii="TimesNewRomanPSMT" w:eastAsia="Cambria" w:hAnsi="TimesNewRomanPSMT" w:cs="TimesNewRomanPSMT"/>
      <w:color w:val="000000"/>
      <w:spacing w:val="-2"/>
      <w:sz w:val="18"/>
      <w:szCs w:val="18"/>
    </w:rPr>
  </w:style>
  <w:style w:type="paragraph" w:customStyle="1" w:styleId="Default">
    <w:name w:val="Default"/>
    <w:rsid w:val="00000F3D"/>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000F3D"/>
    <w:rPr>
      <w:rFonts w:ascii="Tahoma" w:hAnsi="Tahoma" w:cs="Tahoma"/>
      <w:sz w:val="16"/>
      <w:szCs w:val="16"/>
    </w:rPr>
  </w:style>
  <w:style w:type="character" w:customStyle="1" w:styleId="BalloonTextChar">
    <w:name w:val="Balloon Text Char"/>
    <w:basedOn w:val="DefaultParagraphFont"/>
    <w:link w:val="BalloonText"/>
    <w:uiPriority w:val="99"/>
    <w:semiHidden/>
    <w:rsid w:val="00000F3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46F1E"/>
    <w:rPr>
      <w:b/>
      <w:bCs/>
      <w:sz w:val="20"/>
    </w:rPr>
  </w:style>
  <w:style w:type="character" w:customStyle="1" w:styleId="CommentSubjectChar">
    <w:name w:val="Comment Subject Char"/>
    <w:basedOn w:val="CommentTextChar"/>
    <w:link w:val="CommentSubject"/>
    <w:uiPriority w:val="99"/>
    <w:semiHidden/>
    <w:rsid w:val="00346F1E"/>
    <w:rPr>
      <w:rFonts w:eastAsia="Times New Roman" w:cs="Times New Roman"/>
      <w:b/>
      <w:bCs/>
      <w:sz w:val="20"/>
      <w:szCs w:val="20"/>
    </w:rPr>
  </w:style>
  <w:style w:type="paragraph" w:styleId="Revision">
    <w:name w:val="Revision"/>
    <w:hidden/>
    <w:uiPriority w:val="99"/>
    <w:semiHidden/>
    <w:rsid w:val="00C607F7"/>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2020-05-08T02:45:00Z</dcterms:created>
  <dcterms:modified xsi:type="dcterms:W3CDTF">2020-05-26T21:15:00Z</dcterms:modified>
</cp:coreProperties>
</file>